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C8" w:rsidRPr="009A08C8" w:rsidRDefault="009A08C8" w:rsidP="009A08C8">
      <w:pPr>
        <w:ind w:left="6096"/>
        <w:jc w:val="center"/>
        <w:rPr>
          <w:b/>
        </w:rPr>
      </w:pPr>
      <w:r w:rsidRPr="009A08C8">
        <w:rPr>
          <w:b/>
        </w:rPr>
        <w:t>«УТВЕРЖДЕНО»</w:t>
      </w:r>
    </w:p>
    <w:p w:rsidR="009A08C8" w:rsidRPr="009A08C8" w:rsidRDefault="009A08C8" w:rsidP="009A08C8">
      <w:pPr>
        <w:ind w:left="6096"/>
        <w:jc w:val="center"/>
        <w:rPr>
          <w:b/>
        </w:rPr>
      </w:pPr>
      <w:r w:rsidRPr="009A08C8">
        <w:rPr>
          <w:b/>
        </w:rPr>
        <w:t>Председателем Государственного комитета</w:t>
      </w:r>
    </w:p>
    <w:p w:rsidR="009A08C8" w:rsidRPr="009A08C8" w:rsidRDefault="009A08C8" w:rsidP="009A08C8">
      <w:pPr>
        <w:ind w:left="6096"/>
        <w:jc w:val="center"/>
        <w:rPr>
          <w:b/>
        </w:rPr>
      </w:pPr>
      <w:r w:rsidRPr="009A08C8">
        <w:rPr>
          <w:b/>
        </w:rPr>
        <w:t>Республики Узбекистан по статистике</w:t>
      </w:r>
    </w:p>
    <w:p w:rsidR="009A08C8" w:rsidRPr="009A08C8" w:rsidRDefault="009A08C8" w:rsidP="009A08C8">
      <w:pPr>
        <w:ind w:left="6096"/>
        <w:jc w:val="center"/>
        <w:rPr>
          <w:b/>
        </w:rPr>
      </w:pPr>
      <w:r w:rsidRPr="009A08C8">
        <w:rPr>
          <w:b/>
        </w:rPr>
        <w:t>26 февраля 2015 г.</w:t>
      </w:r>
    </w:p>
    <w:p w:rsidR="009A08C8" w:rsidRPr="009A08C8" w:rsidRDefault="009A08C8" w:rsidP="009A08C8">
      <w:pPr>
        <w:spacing w:line="312" w:lineRule="auto"/>
        <w:jc w:val="center"/>
        <w:rPr>
          <w:b/>
        </w:rPr>
      </w:pPr>
    </w:p>
    <w:p w:rsidR="009A08C8" w:rsidRPr="009A08C8" w:rsidRDefault="009A08C8" w:rsidP="009A08C8">
      <w:pPr>
        <w:spacing w:line="312" w:lineRule="auto"/>
        <w:jc w:val="center"/>
        <w:rPr>
          <w:b/>
        </w:rPr>
      </w:pPr>
      <w:r w:rsidRPr="009A08C8">
        <w:rPr>
          <w:b/>
        </w:rPr>
        <w:t>МЕТОДОЛОГИЯ</w:t>
      </w:r>
    </w:p>
    <w:p w:rsidR="009A08C8" w:rsidRPr="009A08C8" w:rsidRDefault="009A08C8" w:rsidP="009A08C8">
      <w:pPr>
        <w:spacing w:line="312" w:lineRule="auto"/>
        <w:jc w:val="center"/>
        <w:rPr>
          <w:b/>
        </w:rPr>
      </w:pPr>
      <w:r w:rsidRPr="009A08C8">
        <w:rPr>
          <w:b/>
        </w:rPr>
        <w:t>оформления  типовой формы Паспорта предприятия, с учетом особенностей деятельности промышленных и строительных организаций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Настоящая Методология </w:t>
      </w:r>
      <w:r w:rsidRPr="009A08C8">
        <w:rPr>
          <w:lang w:val="uz-Cyrl-UZ"/>
        </w:rPr>
        <w:t xml:space="preserve">разработана во исполнение постановления Кабинета Министров Республики Узбекистан от 26 января 2015 г. № 11 </w:t>
      </w:r>
      <w:r w:rsidRPr="009A08C8">
        <w:t>«</w:t>
      </w:r>
      <w:r w:rsidRPr="009A08C8">
        <w:rPr>
          <w:lang w:val="uz-Cyrl-UZ"/>
        </w:rPr>
        <w:t>О дополнительных мерах  по обеспечению устойчивой деятельности и мак</w:t>
      </w:r>
      <w:r w:rsidRPr="009A08C8">
        <w:t>с</w:t>
      </w:r>
      <w:r w:rsidRPr="009A08C8">
        <w:rPr>
          <w:lang w:val="uz-Cyrl-UZ"/>
        </w:rPr>
        <w:t xml:space="preserve">имальной загрузки </w:t>
      </w:r>
      <w:proofErr w:type="gramStart"/>
      <w:r w:rsidRPr="009A08C8">
        <w:rPr>
          <w:lang w:val="uz-Cyrl-UZ"/>
        </w:rPr>
        <w:t>мощностей</w:t>
      </w:r>
      <w:proofErr w:type="gramEnd"/>
      <w:r w:rsidRPr="009A08C8">
        <w:rPr>
          <w:lang w:val="uz-Cyrl-UZ"/>
        </w:rPr>
        <w:t xml:space="preserve"> промышленных и строительных организаций</w:t>
      </w:r>
      <w:r w:rsidRPr="009A08C8">
        <w:t>»</w:t>
      </w:r>
      <w:r w:rsidRPr="009A08C8">
        <w:rPr>
          <w:lang w:val="uz-Cyrl-UZ"/>
        </w:rPr>
        <w:t>, в целях создания</w:t>
      </w:r>
      <w:r w:rsidRPr="009A08C8">
        <w:t xml:space="preserve"> информационно-аналитической основы для определения мер по дальнейшему эффективному использованию созданных и вновь вводимых производственных мощностей, а также укреплению материально-технической базы предприятий.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Настоящая Методология носит рекомендательный характер и предназначена для использования предприятиями в сфере промышленности и строительства (кроме микрофирм) для обеспечения объективного и полного отражения основных производственных и экономических параметров их деятельности при оформлении типовых форм паспортов предприятий.</w:t>
      </w:r>
    </w:p>
    <w:p w:rsidR="009A08C8" w:rsidRPr="009A08C8" w:rsidRDefault="009A08C8" w:rsidP="009A08C8">
      <w:pPr>
        <w:spacing w:before="240" w:after="240" w:line="312" w:lineRule="auto"/>
        <w:ind w:firstLine="567"/>
        <w:jc w:val="center"/>
      </w:pPr>
      <w:r w:rsidRPr="009A08C8">
        <w:rPr>
          <w:b/>
        </w:rPr>
        <w:t>1. Общие положения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1. В настоящей Методологии используются следующие определения: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rPr>
          <w:b/>
        </w:rPr>
        <w:t>предприятия в сфере промышленности и строительства</w:t>
      </w:r>
      <w:r w:rsidRPr="009A08C8">
        <w:t xml:space="preserve"> (далее предприятия) – коммерческие юридические лица (за исключением микрофирм) у которых деятельность по производству промышленной продукции (включая услуги промышленного характера) или осуществлению строительно-монтажных работ собственными силами является преобладающей в течение года, предшествующего оформлению (изменению) паспорта;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rPr>
          <w:b/>
        </w:rPr>
        <w:t xml:space="preserve">паспорт предприятия – </w:t>
      </w:r>
      <w:r w:rsidRPr="009A08C8">
        <w:t>типовая электронная</w:t>
      </w:r>
      <w:r w:rsidRPr="009A08C8">
        <w:rPr>
          <w:b/>
        </w:rPr>
        <w:t xml:space="preserve"> </w:t>
      </w:r>
      <w:r w:rsidRPr="009A08C8">
        <w:t>форма, содержащая основные производственные и экономические параметры деятельности предприятий,  размещенная на официальных сайтах органов государственного и хозяйственного управления, а также предприятий не входящих в их структуру, и представленная в органы государственной статистики посредством сети Интернет.</w:t>
      </w:r>
    </w:p>
    <w:p w:rsidR="009A08C8" w:rsidRPr="009A08C8" w:rsidRDefault="009A08C8" w:rsidP="009A08C8">
      <w:pPr>
        <w:spacing w:after="40" w:line="312" w:lineRule="auto"/>
        <w:ind w:firstLine="567"/>
        <w:jc w:val="both"/>
        <w:rPr>
          <w:lang w:val="uz-Cyrl-UZ"/>
        </w:rPr>
      </w:pPr>
      <w:r w:rsidRPr="009A08C8">
        <w:t xml:space="preserve">2. Предприятия в сфере промышленности и строительства оформляют паспорта предприятий по форме, утвержденной приложениями № 1 и 2 к </w:t>
      </w:r>
      <w:r w:rsidRPr="009A08C8">
        <w:rPr>
          <w:lang w:val="uz-Cyrl-UZ"/>
        </w:rPr>
        <w:t>постановлению Кабинета Министров Республики Узбекистан от 26 января 2015 г. № 11 в сроки, установленные в приложении № 3 к вышеуказанному постановлению Кабинета Министров.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При наличии у предприятия обособленных подразделений, не имеющих статус юридического лица, паспорт заполняется с учетом данных всех обособленных подразделений, находящихся на территории Республики Узбекистан.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3. Государственный комитет Республики Узбекистан по статистике (далее Госкомстат), в целях организации оформления и представления типовых форм паспортов предприятий, ежегодно:</w:t>
      </w:r>
    </w:p>
    <w:p w:rsidR="009A08C8" w:rsidRPr="009A08C8" w:rsidRDefault="009A08C8" w:rsidP="009A08C8">
      <w:pPr>
        <w:spacing w:after="40" w:line="312" w:lineRule="auto"/>
        <w:ind w:firstLine="567"/>
        <w:jc w:val="both"/>
        <w:rPr>
          <w:lang w:val="uz-Cyrl-UZ"/>
        </w:rPr>
      </w:pPr>
      <w:r w:rsidRPr="009A08C8">
        <w:t xml:space="preserve">а) подготавливает и размещает на своем официальном сайте предварительный перечень организаций, соответствующих требованиям, установленным постановлением Кабинета Министров </w:t>
      </w:r>
      <w:r w:rsidRPr="009A08C8">
        <w:rPr>
          <w:lang w:val="uz-Cyrl-UZ"/>
        </w:rPr>
        <w:t xml:space="preserve">от 26 января 2015 г. № 11 </w:t>
      </w:r>
      <w:r w:rsidRPr="009A08C8">
        <w:t>(далее Перечень)</w:t>
      </w:r>
      <w:r w:rsidRPr="009A08C8">
        <w:rPr>
          <w:lang w:val="uz-Cyrl-UZ"/>
        </w:rPr>
        <w:t>, а также направляет  сведения из перечня органам государственного и хозяйственного управления, в состав которых входят предприятия, осуществляющие деятельность в сфере промышленности и строительства;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б) при поступлении от органов государственного и хозяйственного управления предложений по внесению изменений и дополнений в Перечень, при необходимости, вносит изменения и не позднее 26 марта размещает на официальном сайте уточненный перечень;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в) обеспечивает предприятиям в сфере промышленности и строительства ежегодно </w:t>
      </w:r>
      <w:r w:rsidRPr="009A08C8">
        <w:br/>
      </w:r>
      <w:r w:rsidRPr="009A08C8">
        <w:rPr>
          <w:b/>
          <w:u w:val="single"/>
        </w:rPr>
        <w:t>с 15 марта по 2 апреля</w:t>
      </w:r>
      <w:r w:rsidRPr="009A08C8">
        <w:t xml:space="preserve"> доступ к использованию на официальном сайте программно-технических средств по оформлению и представлению паспорта;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lastRenderedPageBreak/>
        <w:t xml:space="preserve">г) при непредставлении паспорта и/или расхождении данных паспорта и поступившей в органы статистики государственной статистической отчетности, </w:t>
      </w:r>
      <w:r w:rsidRPr="009A08C8">
        <w:rPr>
          <w:b/>
          <w:u w:val="single"/>
        </w:rPr>
        <w:t>не позднее 10 апреля</w:t>
      </w:r>
      <w:r w:rsidRPr="009A08C8">
        <w:t xml:space="preserve"> информирует об этом органы государственного и хозяйственного управления, а по предприятиям, не входящим в структуру органов управления, хокимият соответствующей территории, для принятия необходимых мер.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4. Госкомстат, ежегодно до 20 апреля, формирует периодическую информацию о динамике основных параметров паспортов предприятий и представляет ее для последующей аналитической работы уполномоченным государственным органам.</w:t>
      </w:r>
    </w:p>
    <w:p w:rsidR="009A08C8" w:rsidRPr="009A08C8" w:rsidRDefault="009A08C8" w:rsidP="009A08C8">
      <w:pPr>
        <w:spacing w:before="240" w:after="240" w:line="312" w:lineRule="auto"/>
        <w:ind w:firstLine="567"/>
        <w:jc w:val="center"/>
        <w:rPr>
          <w:b/>
        </w:rPr>
      </w:pPr>
      <w:r w:rsidRPr="009A08C8">
        <w:rPr>
          <w:b/>
        </w:rPr>
        <w:t>2. Рекомендации по методологии заполнения</w:t>
      </w:r>
      <w:r w:rsidRPr="009A08C8">
        <w:t xml:space="preserve"> </w:t>
      </w:r>
      <w:r w:rsidRPr="009A08C8">
        <w:rPr>
          <w:b/>
        </w:rPr>
        <w:t xml:space="preserve">идентификационных </w:t>
      </w:r>
      <w:r w:rsidRPr="009A08C8">
        <w:rPr>
          <w:b/>
        </w:rPr>
        <w:br/>
        <w:t>и общеэкономических показателей типовой формы паспорта предприятия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5. При заполнении типовой формы паспорта предприятия в строке «наименование предприятия» указывается наименование юридического лица на государственном языке, согласно учредительным документам (при наличии сокращенного наименования, указывается сокращенное наименование).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6. В строке «идентификационные коды» указываются следующие коды: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ОКПО – основной код юридического лица, присвоенный регистрирующими органами юридическому лицу при автоматизированной постановке на учет в органах государственной статистики;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ИНН – идентификационный номер налогоплательщика;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ОКОНХ – код основного вида деятельности (преобладающего в году, предшествовавшем оформлению (изменению) паспорта), в соответствии с Общегосударственным классификатором отраслей народного хозяйства.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7. В строке «ведомственная принадлежность» указывается сокращенное наименование республиканского органа государственного или хозяйственного управления, в структуру которого входит предприятие.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8. В строке «тип предприятия» – указываются слова «крупное» или «малое», при этом тип определяется на основе классификации, утвержденной постановлением Кабинета Министров от 11 октября 2003 г. № 439.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9. В строке «руководитель предприятия» указывается полностью фамилия, имя,  отчество руководителя на момент оформления (изменения) паспорта.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10. В строке «почтовый адрес предприятия», указывается полный адрес расположения головного офиса, по которому можно обратиться лично (посетить) или отправить почтовую корреспонденцию.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11. В строке «номер телефона», указывается контактный номер (стационарный или мобильный в международном формате) по которому, в случае необходимости, можно связаться с представителем предприятия.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12. В строке «электронный адрес» указывается электронный адрес, который может быть использован для отправки сообщений предприятию заинтересованными лицами.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13. В строке «</w:t>
      </w:r>
      <w:proofErr w:type="spellStart"/>
      <w:r w:rsidRPr="009A08C8">
        <w:t>Веб-сайт</w:t>
      </w:r>
      <w:proofErr w:type="spellEnd"/>
      <w:r w:rsidRPr="009A08C8">
        <w:t xml:space="preserve">» указывается адрес Интернет-ресурса, где возможно ознакомится с информацией о предприятии. При отсутствии у предприятия собственного </w:t>
      </w:r>
      <w:proofErr w:type="spellStart"/>
      <w:r w:rsidRPr="009A08C8">
        <w:t>Веб-сайта</w:t>
      </w:r>
      <w:proofErr w:type="spellEnd"/>
      <w:r w:rsidRPr="009A08C8">
        <w:t xml:space="preserve"> возможно указать адрес официального сайта органа управления, если на нем имеется информация о предприятии.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14. В строке «дата государственной регистрации» заполняется дата, указанная в</w:t>
      </w:r>
      <w:r w:rsidRPr="009A08C8">
        <w:rPr>
          <w:noProof/>
        </w:rPr>
        <w:t xml:space="preserve"> свидетельстве о государственной регистрации юридического лица.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15. В строке «обслуживающий банк» указывается сокращенное наименование обслуживающего банка, в котором предприятие имеет открытый расчетный счет на момент оформления (изменения) паспорта.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16. В строке «размер уставного фонда» указываются последние зарегистрированные в установленном порядке изменения в учредительных документах, соответственно в сумах, долларах США или в сумах и долларах США.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17. В строке «основные учредители» указываются полные или сокращенные наименования учредителей - юридических  лиц и/или фамилия и инициалы физических лиц, имеющих наибольшую долю в общем уставном фонде (до пяти учредителей).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18. В строке «земельная площадь» и «площадь занимаемой территории», «производственная площадь» указываются сведения, согласно документам земельного кадастра, включая земельные площади, сданные в аренду, а также площади, арендованные предприятием на срок более одного года. </w:t>
      </w:r>
    </w:p>
    <w:p w:rsidR="009A08C8" w:rsidRPr="009A08C8" w:rsidRDefault="009A08C8" w:rsidP="009A08C8">
      <w:pPr>
        <w:shd w:val="clear" w:color="auto" w:fill="FFFFFF"/>
        <w:spacing w:after="40" w:line="312" w:lineRule="auto"/>
        <w:ind w:firstLine="567"/>
        <w:jc w:val="both"/>
      </w:pPr>
      <w:r w:rsidRPr="009A08C8">
        <w:lastRenderedPageBreak/>
        <w:t xml:space="preserve">При оформлении данных о площади под строениями для многоэтажных административных зданий указывается суммарная площадь всех этажей, к </w:t>
      </w:r>
      <w:proofErr w:type="gramStart"/>
      <w:r w:rsidRPr="009A08C8">
        <w:t>площади</w:t>
      </w:r>
      <w:proofErr w:type="gramEnd"/>
      <w:r w:rsidRPr="009A08C8">
        <w:t xml:space="preserve"> занимаемой производственными объектами относят суммарную площадь цехов, складов, гаражей и т.п.</w:t>
      </w:r>
    </w:p>
    <w:p w:rsidR="009A08C8" w:rsidRPr="009A08C8" w:rsidRDefault="009A08C8" w:rsidP="009A08C8">
      <w:pPr>
        <w:shd w:val="clear" w:color="auto" w:fill="FFFFFF"/>
        <w:spacing w:after="40" w:line="312" w:lineRule="auto"/>
        <w:ind w:firstLine="567"/>
        <w:jc w:val="both"/>
        <w:rPr>
          <w:snapToGrid w:val="0"/>
          <w:color w:val="FF0000"/>
        </w:rPr>
      </w:pPr>
      <w:r w:rsidRPr="009A08C8">
        <w:t>19. В строке «финансовый результат» указывается п</w:t>
      </w:r>
      <w:r w:rsidRPr="009A08C8">
        <w:rPr>
          <w:noProof/>
        </w:rPr>
        <w:t xml:space="preserve">рибыль (убыток) до уплаты налога на прибыль согласно данным бухгалтерского учета за год, предшествующий оформлению (изменению) паспорта </w:t>
      </w:r>
      <w:r w:rsidRPr="009A08C8">
        <w:t>(например, при оформлении паспорта в 2015 году – за 2014 год)</w:t>
      </w:r>
      <w:r w:rsidRPr="009A08C8">
        <w:rPr>
          <w:snapToGrid w:val="0"/>
          <w:color w:val="000000"/>
        </w:rPr>
        <w:t>.</w:t>
      </w:r>
    </w:p>
    <w:p w:rsidR="009A08C8" w:rsidRPr="009A08C8" w:rsidRDefault="009A08C8" w:rsidP="009A08C8">
      <w:pPr>
        <w:shd w:val="clear" w:color="auto" w:fill="FFFFFF"/>
        <w:spacing w:after="40" w:line="312" w:lineRule="auto"/>
        <w:ind w:firstLine="567"/>
        <w:jc w:val="both"/>
        <w:rPr>
          <w:noProof/>
        </w:rPr>
      </w:pPr>
      <w:r w:rsidRPr="009A08C8">
        <w:t>20. В строке «с</w:t>
      </w:r>
      <w:r w:rsidRPr="009A08C8">
        <w:rPr>
          <w:noProof/>
        </w:rPr>
        <w:t xml:space="preserve">реднесписочная численность работников» приводятся данные о среднегодовой численности работников, определяемой как сумма среднемесячной численности работников за все месяцы года и деления полученной суммы на </w:t>
      </w:r>
      <w:r w:rsidRPr="009A08C8">
        <w:rPr>
          <w:noProof/>
          <w:lang w:val="uz-Cyrl-UZ"/>
        </w:rPr>
        <w:t>двенадцать, даже если организация работала не полный год</w:t>
      </w:r>
      <w:r w:rsidRPr="009A08C8">
        <w:rPr>
          <w:noProof/>
        </w:rPr>
        <w:t>.</w:t>
      </w:r>
    </w:p>
    <w:p w:rsidR="009A08C8" w:rsidRPr="009A08C8" w:rsidRDefault="009A08C8" w:rsidP="009A08C8">
      <w:pPr>
        <w:autoSpaceDE w:val="0"/>
        <w:autoSpaceDN w:val="0"/>
        <w:adjustRightInd w:val="0"/>
        <w:spacing w:after="40" w:line="312" w:lineRule="auto"/>
        <w:ind w:firstLine="567"/>
        <w:jc w:val="both"/>
        <w:rPr>
          <w:noProof/>
        </w:rPr>
      </w:pPr>
      <w:r w:rsidRPr="009A08C8">
        <w:rPr>
          <w:noProof/>
        </w:rPr>
        <w:t xml:space="preserve">При этом, целыми единицами в списочную численность </w:t>
      </w:r>
      <w:r w:rsidRPr="009A08C8">
        <w:rPr>
          <w:bCs/>
          <w:noProof/>
        </w:rPr>
        <w:t xml:space="preserve">включаются работники: </w:t>
      </w:r>
      <w:r w:rsidRPr="009A08C8">
        <w:rPr>
          <w:noProof/>
        </w:rPr>
        <w:t xml:space="preserve">в случаях, приведенных в статьях 11, 83,  102, 119, 150, 159, 160, 165, 229, 236, 242, 254 Трудового Кодекса Республики Узбекистан, а также в других случаях, предусмотренных законодательными и иными нормативными актами о труде.    </w:t>
      </w:r>
    </w:p>
    <w:p w:rsidR="009A08C8" w:rsidRPr="009A08C8" w:rsidRDefault="009A08C8" w:rsidP="009A08C8">
      <w:pPr>
        <w:autoSpaceDE w:val="0"/>
        <w:autoSpaceDN w:val="0"/>
        <w:adjustRightInd w:val="0"/>
        <w:spacing w:after="40" w:line="312" w:lineRule="auto"/>
        <w:ind w:firstLine="567"/>
        <w:jc w:val="both"/>
        <w:rPr>
          <w:noProof/>
        </w:rPr>
      </w:pPr>
      <w:r w:rsidRPr="009A08C8">
        <w:rPr>
          <w:bCs/>
          <w:noProof/>
        </w:rPr>
        <w:t>Не включаются в списочную численность работники:</w:t>
      </w:r>
      <w:r w:rsidRPr="009A08C8">
        <w:rPr>
          <w:noProof/>
        </w:rPr>
        <w:t xml:space="preserve"> принятые на работу по совместительству из других организаций; выполнявшие работу по договорам гражданско-правового характера; направленные организациями на обучение в образовательные учреждения с отрывом от работы.</w:t>
      </w:r>
    </w:p>
    <w:p w:rsidR="009A08C8" w:rsidRPr="009A08C8" w:rsidRDefault="009A08C8" w:rsidP="009A08C8">
      <w:pPr>
        <w:autoSpaceDE w:val="0"/>
        <w:autoSpaceDN w:val="0"/>
        <w:adjustRightInd w:val="0"/>
        <w:spacing w:after="40" w:line="312" w:lineRule="auto"/>
        <w:ind w:firstLine="567"/>
        <w:jc w:val="both"/>
        <w:rPr>
          <w:noProof/>
        </w:rPr>
      </w:pPr>
      <w:r w:rsidRPr="009A08C8">
        <w:rPr>
          <w:bCs/>
          <w:noProof/>
        </w:rPr>
        <w:t>21. Отнесение работников к показателю «административный персонал» осуществляется в соответствии с</w:t>
      </w:r>
      <w:r w:rsidRPr="009A08C8">
        <w:rPr>
          <w:noProof/>
          <w:lang w:val="uz-Cyrl-UZ"/>
        </w:rPr>
        <w:t xml:space="preserve"> </w:t>
      </w:r>
      <w:r w:rsidRPr="009A08C8">
        <w:rPr>
          <w:noProof/>
        </w:rPr>
        <w:t>«Номенклатурой должностей управленческого, обслуживающего и технического персонала органов государственного и хозя</w:t>
      </w:r>
      <w:r w:rsidRPr="009A08C8">
        <w:rPr>
          <w:noProof/>
        </w:rPr>
        <w:t>й</w:t>
      </w:r>
      <w:r w:rsidRPr="009A08C8">
        <w:rPr>
          <w:noProof/>
        </w:rPr>
        <w:t>ственного управления», утвержденной постановлением Министерства труда и социальной защиты населения и Министерства финансов Респу</w:t>
      </w:r>
      <w:r w:rsidRPr="009A08C8">
        <w:rPr>
          <w:noProof/>
        </w:rPr>
        <w:t>б</w:t>
      </w:r>
      <w:r w:rsidRPr="009A08C8">
        <w:rPr>
          <w:noProof/>
        </w:rPr>
        <w:t xml:space="preserve">лики Узбекистан </w:t>
      </w:r>
      <w:r w:rsidRPr="009A08C8">
        <w:rPr>
          <w:noProof/>
        </w:rPr>
        <w:br/>
        <w:t>от 22 сентября 2003 года № 58 и № 116 (рег.№ 1288 от 9 декабря 2003 г.).</w:t>
      </w:r>
    </w:p>
    <w:p w:rsidR="009A08C8" w:rsidRPr="009A08C8" w:rsidRDefault="009A08C8" w:rsidP="009A08C8">
      <w:pPr>
        <w:autoSpaceDE w:val="0"/>
        <w:autoSpaceDN w:val="0"/>
        <w:adjustRightInd w:val="0"/>
        <w:spacing w:after="40" w:line="312" w:lineRule="auto"/>
        <w:ind w:firstLine="567"/>
        <w:jc w:val="both"/>
        <w:rPr>
          <w:noProof/>
        </w:rPr>
      </w:pPr>
      <w:r w:rsidRPr="009A08C8">
        <w:rPr>
          <w:noProof/>
        </w:rPr>
        <w:t>Показатель «производственный персонал» определяется как разность среднесписочной численности работников и средней численности административного персонала.</w:t>
      </w:r>
    </w:p>
    <w:p w:rsidR="009A08C8" w:rsidRPr="009A08C8" w:rsidRDefault="009A08C8" w:rsidP="009A08C8">
      <w:pPr>
        <w:autoSpaceDE w:val="0"/>
        <w:autoSpaceDN w:val="0"/>
        <w:adjustRightInd w:val="0"/>
        <w:spacing w:after="40" w:line="312" w:lineRule="auto"/>
        <w:ind w:firstLine="567"/>
        <w:jc w:val="both"/>
        <w:rPr>
          <w:noProof/>
        </w:rPr>
      </w:pPr>
      <w:r w:rsidRPr="009A08C8">
        <w:rPr>
          <w:bCs/>
          <w:snapToGrid w:val="0"/>
        </w:rPr>
        <w:t>22.</w:t>
      </w:r>
      <w:r w:rsidRPr="009A08C8">
        <w:rPr>
          <w:b/>
          <w:bCs/>
          <w:snapToGrid w:val="0"/>
        </w:rPr>
        <w:t xml:space="preserve"> С</w:t>
      </w:r>
      <w:r w:rsidRPr="009A08C8">
        <w:rPr>
          <w:bCs/>
          <w:snapToGrid w:val="0"/>
        </w:rPr>
        <w:t>трока</w:t>
      </w:r>
      <w:r w:rsidRPr="009A08C8">
        <w:rPr>
          <w:b/>
          <w:bCs/>
          <w:snapToGrid w:val="0"/>
        </w:rPr>
        <w:t xml:space="preserve"> </w:t>
      </w:r>
      <w:r w:rsidRPr="009A08C8">
        <w:rPr>
          <w:bCs/>
          <w:snapToGrid w:val="0"/>
        </w:rPr>
        <w:t>«средняя  номинальная начисленная заработная плата» определяется путем деления данных о величине фонда</w:t>
      </w:r>
      <w:r w:rsidRPr="009A08C8">
        <w:rPr>
          <w:bCs/>
          <w:snapToGrid w:val="0"/>
          <w:lang w:val="uz-Cyrl-UZ"/>
        </w:rPr>
        <w:t xml:space="preserve"> </w:t>
      </w:r>
      <w:r w:rsidRPr="009A08C8">
        <w:rPr>
          <w:bCs/>
          <w:snapToGrid w:val="0"/>
        </w:rPr>
        <w:t>заработной платы</w:t>
      </w:r>
      <w:r w:rsidRPr="009A08C8">
        <w:rPr>
          <w:bCs/>
          <w:snapToGrid w:val="0"/>
          <w:lang w:val="uz-Cyrl-UZ"/>
        </w:rPr>
        <w:t xml:space="preserve">, </w:t>
      </w:r>
      <w:proofErr w:type="spellStart"/>
      <w:r w:rsidRPr="009A08C8">
        <w:rPr>
          <w:bCs/>
          <w:snapToGrid w:val="0"/>
        </w:rPr>
        <w:t>начисленн</w:t>
      </w:r>
      <w:proofErr w:type="spellEnd"/>
      <w:r w:rsidRPr="009A08C8">
        <w:rPr>
          <w:bCs/>
          <w:snapToGrid w:val="0"/>
          <w:lang w:val="uz-Cyrl-UZ"/>
        </w:rPr>
        <w:t>ой работникам списочного состава</w:t>
      </w:r>
      <w:r w:rsidRPr="009A08C8">
        <w:rPr>
          <w:bCs/>
          <w:snapToGrid w:val="0"/>
        </w:rPr>
        <w:t xml:space="preserve"> на показатель численности работников, принимаемой для исчисления средней заработной платы и </w:t>
      </w:r>
      <w:r w:rsidRPr="009A08C8">
        <w:rPr>
          <w:noProof/>
        </w:rPr>
        <w:t xml:space="preserve">деление на </w:t>
      </w:r>
      <w:r w:rsidRPr="009A08C8">
        <w:rPr>
          <w:noProof/>
          <w:lang w:val="uz-Cyrl-UZ"/>
        </w:rPr>
        <w:t>двенадцать, даже если организация работала не полный год</w:t>
      </w:r>
      <w:r w:rsidRPr="009A08C8">
        <w:rPr>
          <w:noProof/>
        </w:rPr>
        <w:t>.</w:t>
      </w:r>
    </w:p>
    <w:p w:rsidR="009A08C8" w:rsidRPr="009A08C8" w:rsidRDefault="009A08C8" w:rsidP="009A08C8">
      <w:pPr>
        <w:autoSpaceDE w:val="0"/>
        <w:autoSpaceDN w:val="0"/>
        <w:adjustRightInd w:val="0"/>
        <w:spacing w:after="40" w:line="312" w:lineRule="auto"/>
        <w:ind w:firstLine="567"/>
        <w:jc w:val="both"/>
        <w:rPr>
          <w:lang w:val="uz-Cyrl-UZ"/>
        </w:rPr>
      </w:pPr>
      <w:r w:rsidRPr="009A08C8">
        <w:rPr>
          <w:lang w:val="uz-Cyrl-UZ"/>
        </w:rPr>
        <w:t>В фонд заработной платы включаются денежные суммы, начисленные к выплате в coответствии с платежными документами, по которым с работниками были произведены расчеты по заработной плате. Фонд заработной платы определяется в соответствии со статьями  172, 173, 174, 175 Налогового кодекса. При этом указанные  суммы приводятся без вычета налогов и других удержаний в соответствии с законодательством.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23. Сведения, указанные в пунктах 5-8, 10-12,14,16-17 настоящей Методологии сопоставляются органами статистики с данными Единого государственного регистра предприятий и организаций (ЕГРПО).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Общеэкономические показатели и показатели производства сопоставляются с данными годовой государственной статистической отчетности.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При наличии расхождений данных паспорта с ЕГРПО или годовыми статистическими отчетами, причины расхождений уточняются с предприятием путем направления ему электронного запроса.</w:t>
      </w:r>
    </w:p>
    <w:p w:rsidR="009A08C8" w:rsidRPr="009A08C8" w:rsidRDefault="009A08C8" w:rsidP="009A08C8">
      <w:pPr>
        <w:spacing w:before="240" w:after="240" w:line="312" w:lineRule="auto"/>
        <w:ind w:firstLine="567"/>
        <w:jc w:val="center"/>
        <w:rPr>
          <w:b/>
        </w:rPr>
      </w:pPr>
      <w:r w:rsidRPr="009A08C8">
        <w:rPr>
          <w:b/>
        </w:rPr>
        <w:t>3. Особенности оформления</w:t>
      </w:r>
      <w:r w:rsidRPr="009A08C8">
        <w:t xml:space="preserve"> </w:t>
      </w:r>
      <w:r w:rsidRPr="009A08C8">
        <w:rPr>
          <w:b/>
        </w:rPr>
        <w:t>отдельных</w:t>
      </w:r>
      <w:r w:rsidRPr="009A08C8">
        <w:t xml:space="preserve"> </w:t>
      </w:r>
      <w:r w:rsidRPr="009A08C8">
        <w:rPr>
          <w:b/>
        </w:rPr>
        <w:t>показателей типовой формы паспорта промышленными предприятиями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24. Предприятия, у которых промышленное производство является основным видом деятельности (преобладающим), оформляют и предоставляют типовую форму паспорта, согласно приложению № 1 к</w:t>
      </w:r>
      <w:r w:rsidRPr="009A08C8">
        <w:rPr>
          <w:lang w:val="uz-Cyrl-UZ"/>
        </w:rPr>
        <w:t xml:space="preserve"> постановлению Кабинета Министров Республики Узбекистан от 26 января 2015 г. № 11</w:t>
      </w:r>
      <w:r w:rsidRPr="009A08C8">
        <w:t>.</w:t>
      </w:r>
    </w:p>
    <w:p w:rsidR="009A08C8" w:rsidRPr="009A08C8" w:rsidRDefault="009A08C8" w:rsidP="009A08C8">
      <w:pPr>
        <w:shd w:val="clear" w:color="auto" w:fill="FFFFFF"/>
        <w:spacing w:after="40" w:line="312" w:lineRule="auto"/>
        <w:ind w:firstLine="567"/>
        <w:jc w:val="both"/>
      </w:pPr>
      <w:r w:rsidRPr="009A08C8">
        <w:t xml:space="preserve">25. В строке «производственная мощность на начало периода» указывается максимально возможный выпуск продукции при полном использовании производственного оборудования на 1 января предшествующего оформлению (изменению) паспорта года. При этом указываются все имеющиеся мощности, включая </w:t>
      </w:r>
      <w:r w:rsidRPr="009A08C8">
        <w:rPr>
          <w:snapToGrid w:val="0"/>
          <w:color w:val="000000"/>
        </w:rPr>
        <w:t>сдаваемые в аренду или предн</w:t>
      </w:r>
      <w:r w:rsidRPr="009A08C8">
        <w:rPr>
          <w:snapToGrid w:val="0"/>
          <w:color w:val="000000"/>
        </w:rPr>
        <w:t>а</w:t>
      </w:r>
      <w:r w:rsidRPr="009A08C8">
        <w:rPr>
          <w:snapToGrid w:val="0"/>
          <w:color w:val="000000"/>
        </w:rPr>
        <w:t>значенные для производства промышленной продукции, используемой на данном предприятии.</w:t>
      </w:r>
      <w:r w:rsidRPr="009A08C8">
        <w:t xml:space="preserve"> </w:t>
      </w:r>
    </w:p>
    <w:p w:rsidR="009A08C8" w:rsidRPr="009A08C8" w:rsidRDefault="009A08C8" w:rsidP="009A08C8">
      <w:pPr>
        <w:shd w:val="clear" w:color="auto" w:fill="FFFFFF"/>
        <w:spacing w:after="40" w:line="312" w:lineRule="auto"/>
        <w:ind w:firstLine="567"/>
        <w:jc w:val="both"/>
      </w:pPr>
      <w:r w:rsidRPr="009A08C8">
        <w:lastRenderedPageBreak/>
        <w:t xml:space="preserve">Данные о мощностях по видам продукции оформляются с применением  сформированной Госкомстатом «Номенклатуры промышленной продукции, по которой предлагается заполнение паспортов» (далее Номенклатура), согласно приложению  к настоящей методологии, в  единицах измерения произведенной продукции. 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При формировании Номенклатуры используются коды и наименования продукции  в соответствии со Статистическим классификатором продукции (товаров, работ, услуг) по видам экономической деятельности Республики Узбекистан,</w:t>
      </w:r>
      <w:r w:rsidRPr="009A08C8">
        <w:rPr>
          <w:rFonts w:eastAsia="+mn-ea"/>
          <w:color w:val="000000"/>
          <w:kern w:val="24"/>
        </w:rPr>
        <w:t xml:space="preserve"> </w:t>
      </w:r>
      <w:r w:rsidRPr="009A08C8">
        <w:t xml:space="preserve">утвержденным и введенным в действие Постановлением Узбекского агентства стандартизации, метрологии и сертификации от 19 января 2015 г.  № 05-612. </w:t>
      </w:r>
    </w:p>
    <w:p w:rsidR="009A08C8" w:rsidRPr="009A08C8" w:rsidRDefault="009A08C8" w:rsidP="009A08C8">
      <w:pPr>
        <w:shd w:val="clear" w:color="auto" w:fill="FFFFFF"/>
        <w:spacing w:after="40" w:line="312" w:lineRule="auto"/>
        <w:ind w:firstLine="567"/>
        <w:jc w:val="both"/>
      </w:pPr>
      <w:r w:rsidRPr="009A08C8">
        <w:t>По мощностям, находящимся в стадии освоения, пок</w:t>
      </w:r>
      <w:r w:rsidRPr="009A08C8">
        <w:t>а</w:t>
      </w:r>
      <w:r w:rsidRPr="009A08C8">
        <w:t>зывается проектная мощность по выпуску конкретных видов продукции.</w:t>
      </w:r>
    </w:p>
    <w:p w:rsidR="009A08C8" w:rsidRPr="009A08C8" w:rsidRDefault="009A08C8" w:rsidP="009A08C8">
      <w:pPr>
        <w:shd w:val="clear" w:color="auto" w:fill="FFFFFF"/>
        <w:spacing w:after="40" w:line="312" w:lineRule="auto"/>
        <w:ind w:firstLine="567"/>
        <w:jc w:val="both"/>
      </w:pPr>
      <w:r w:rsidRPr="009A08C8">
        <w:t>При расчете производственной мощности включается все оборудование основного производства и оборудование, установленное во вспомогательных цехах и на участках, аналогичное оборудованию основных цехов, за исключением технологически необходимого резервного оборудования, оборудования опытно-экспериментальных производств и участков, осуществляющих изготовление одного-двух опытных образцов, специализированных участков для профессионально-технического обучения.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Также при расчете производственной мощности, учитывается оборудование временно бездействующее вследствие неисправности, проведения ремонта, модернизации, недостаточной загрузки.</w:t>
      </w:r>
    </w:p>
    <w:p w:rsidR="009A08C8" w:rsidRPr="009A08C8" w:rsidRDefault="009A08C8" w:rsidP="009A08C8">
      <w:pPr>
        <w:shd w:val="clear" w:color="auto" w:fill="FFFFFF"/>
        <w:spacing w:after="40" w:line="312" w:lineRule="auto"/>
        <w:ind w:firstLine="567"/>
        <w:jc w:val="both"/>
        <w:rPr>
          <w:snapToGrid w:val="0"/>
          <w:color w:val="000000"/>
        </w:rPr>
      </w:pPr>
      <w:r w:rsidRPr="009A08C8">
        <w:t>26. В строке «увеличено мощностей» п</w:t>
      </w:r>
      <w:r w:rsidRPr="009A08C8">
        <w:rPr>
          <w:snapToGrid w:val="0"/>
          <w:color w:val="000000"/>
        </w:rPr>
        <w:t xml:space="preserve">оказывается увеличение производственных мощностей за счет ввода в действие </w:t>
      </w:r>
      <w:r w:rsidRPr="009A08C8">
        <w:t>новых, расширения, реконструкции, технического перевооружения действующих мощностей, а также проведения организацио</w:t>
      </w:r>
      <w:r w:rsidRPr="009A08C8">
        <w:t>н</w:t>
      </w:r>
      <w:r w:rsidRPr="009A08C8">
        <w:t>но-технических мероприятий в году, предшествующем оформлению (изменению) паспорта</w:t>
      </w:r>
      <w:r w:rsidRPr="009A08C8">
        <w:rPr>
          <w:snapToGrid w:val="0"/>
          <w:color w:val="000000"/>
        </w:rPr>
        <w:t>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27. В строке «производственная мощность на конец года» указывается максимально возможный выпуск продукции при полном использовании производственного оборудования на 31 декабря года, предшествующего оформлению (изменению) паспорта. </w:t>
      </w:r>
    </w:p>
    <w:p w:rsidR="009A08C8" w:rsidRPr="009A08C8" w:rsidRDefault="009A08C8" w:rsidP="009A08C8">
      <w:pPr>
        <w:spacing w:after="40" w:line="312" w:lineRule="auto"/>
        <w:ind w:firstLine="567"/>
        <w:jc w:val="both"/>
        <w:rPr>
          <w:snapToGrid w:val="0"/>
          <w:color w:val="000000"/>
        </w:rPr>
      </w:pPr>
      <w:r w:rsidRPr="009A08C8">
        <w:rPr>
          <w:snapToGrid w:val="0"/>
          <w:color w:val="000000"/>
        </w:rPr>
        <w:t>28. В строке «технологический режим работы» предприятием указывается слово «непрерывный», если незапланированная остановка технологического процесса  по производству преобладающей промышленной продукции может привести к порче продукции и оборудования, а также потребует восстановительных работ (например, работа плавильных печей), если процесс может быть остановлен в любой момент без  ущерба для производства, указывается слово «прерывный».</w:t>
      </w:r>
    </w:p>
    <w:p w:rsidR="009A08C8" w:rsidRPr="009A08C8" w:rsidRDefault="009A08C8" w:rsidP="009A08C8">
      <w:pPr>
        <w:pStyle w:val="a3"/>
        <w:spacing w:after="40" w:line="312" w:lineRule="auto"/>
        <w:ind w:firstLine="567"/>
        <w:rPr>
          <w:snapToGrid w:val="0"/>
          <w:color w:val="000000"/>
          <w:sz w:val="20"/>
        </w:rPr>
      </w:pPr>
      <w:r w:rsidRPr="009A08C8">
        <w:rPr>
          <w:snapToGrid w:val="0"/>
          <w:color w:val="000000"/>
          <w:sz w:val="20"/>
        </w:rPr>
        <w:t>29. В строке «средняя производственная мощность» указывается расчетная величина, которая определяется путем сложения производственной мощности на начало года и среднегодового увеличения мощности и вычитания средн</w:t>
      </w:r>
      <w:r w:rsidRPr="009A08C8">
        <w:rPr>
          <w:snapToGrid w:val="0"/>
          <w:color w:val="000000"/>
          <w:sz w:val="20"/>
        </w:rPr>
        <w:t>е</w:t>
      </w:r>
      <w:r w:rsidRPr="009A08C8">
        <w:rPr>
          <w:snapToGrid w:val="0"/>
          <w:color w:val="000000"/>
          <w:sz w:val="20"/>
        </w:rPr>
        <w:t>годового  уменьшения мощности.</w:t>
      </w:r>
    </w:p>
    <w:p w:rsidR="009A08C8" w:rsidRPr="009A08C8" w:rsidRDefault="009A08C8" w:rsidP="009A08C8">
      <w:pPr>
        <w:pStyle w:val="a3"/>
        <w:spacing w:after="40" w:line="312" w:lineRule="auto"/>
        <w:ind w:firstLine="567"/>
        <w:rPr>
          <w:snapToGrid w:val="0"/>
          <w:color w:val="000000"/>
          <w:sz w:val="20"/>
        </w:rPr>
      </w:pPr>
      <w:r w:rsidRPr="009A08C8">
        <w:rPr>
          <w:snapToGrid w:val="0"/>
          <w:color w:val="000000"/>
          <w:sz w:val="20"/>
        </w:rPr>
        <w:t>Среднегодовое увеличение мощности рассчитывается путем умножения увеличения мощности по  каждому из перечисленных факторов увеличения мощностей на число полных месяцев действия мощности до конца года и деления полученного р</w:t>
      </w:r>
      <w:r w:rsidRPr="009A08C8">
        <w:rPr>
          <w:snapToGrid w:val="0"/>
          <w:color w:val="000000"/>
          <w:sz w:val="20"/>
        </w:rPr>
        <w:t>е</w:t>
      </w:r>
      <w:r w:rsidRPr="009A08C8">
        <w:rPr>
          <w:snapToGrid w:val="0"/>
          <w:color w:val="000000"/>
          <w:sz w:val="20"/>
        </w:rPr>
        <w:t xml:space="preserve">зультата на двенадцать.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Среднегодовое уменьшение мощности определяется путем умножения выбывающих мощностей на число полных месяцев, оставшихся до конца года с момента её в</w:t>
      </w:r>
      <w:r w:rsidRPr="009A08C8">
        <w:t>ы</w:t>
      </w:r>
      <w:r w:rsidRPr="009A08C8">
        <w:t>бытия, и деления полученного результата на двенадцать.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30. В строке «средний коэффициент сменности» указывается усредненный показатель, характеризующий количество смен, отработанных каждой единицей оборудования за определенный период времени. </w:t>
      </w:r>
    </w:p>
    <w:p w:rsidR="009A08C8" w:rsidRPr="009A08C8" w:rsidRDefault="009A08C8" w:rsidP="009A08C8">
      <w:pPr>
        <w:spacing w:after="40" w:line="312" w:lineRule="auto"/>
        <w:ind w:firstLine="567"/>
        <w:jc w:val="both"/>
        <w:rPr>
          <w:rStyle w:val="textcop"/>
        </w:rPr>
      </w:pPr>
      <w:r w:rsidRPr="009A08C8">
        <w:t>Данный коэффициент о</w:t>
      </w:r>
      <w:r w:rsidRPr="009A08C8">
        <w:rPr>
          <w:rStyle w:val="textcop"/>
        </w:rPr>
        <w:t xml:space="preserve">пределяется путем деления количества </w:t>
      </w:r>
      <w:proofErr w:type="spellStart"/>
      <w:r w:rsidRPr="009A08C8">
        <w:rPr>
          <w:rStyle w:val="textcop"/>
        </w:rPr>
        <w:t>станко-смен</w:t>
      </w:r>
      <w:proofErr w:type="spellEnd"/>
      <w:r w:rsidRPr="009A08C8">
        <w:rPr>
          <w:rStyle w:val="textcop"/>
        </w:rPr>
        <w:t xml:space="preserve"> (</w:t>
      </w:r>
      <w:proofErr w:type="spellStart"/>
      <w:r w:rsidRPr="009A08C8">
        <w:rPr>
          <w:rStyle w:val="textcop"/>
        </w:rPr>
        <w:t>машино-смен</w:t>
      </w:r>
      <w:proofErr w:type="spellEnd"/>
      <w:r w:rsidRPr="009A08C8">
        <w:rPr>
          <w:rStyle w:val="textcop"/>
        </w:rPr>
        <w:t>), отработанных во всех сменах, на количество установленных единиц оборудования.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rPr>
          <w:rStyle w:val="textcop"/>
        </w:rPr>
        <w:t>31. Показатель «в</w:t>
      </w:r>
      <w:r w:rsidRPr="009A08C8">
        <w:t>озрастной состав машин и оборудования</w:t>
      </w:r>
      <w:r w:rsidRPr="009A08C8">
        <w:rPr>
          <w:lang w:val="uz-Cyrl-UZ"/>
        </w:rPr>
        <w:t>,</w:t>
      </w:r>
      <w:r w:rsidRPr="009A08C8">
        <w:t xml:space="preserve"> задействованных в основном производстве  (исходя из года выпуска оборудования)», указывается по первоначальной стоимости на конец года в процентном отношении к общей стоимости машин и оборудования по промышленной деятельности.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32. Показатель «уровень износа машин и оборудования</w:t>
      </w:r>
      <w:r w:rsidRPr="009A08C8">
        <w:rPr>
          <w:lang w:val="uz-Cyrl-UZ"/>
        </w:rPr>
        <w:t>,</w:t>
      </w:r>
      <w:r w:rsidRPr="009A08C8">
        <w:t xml:space="preserve"> задействованных в основном производстве»</w:t>
      </w:r>
      <w:r w:rsidRPr="009A08C8">
        <w:rPr>
          <w:color w:val="FF0000"/>
        </w:rPr>
        <w:t xml:space="preserve"> </w:t>
      </w:r>
      <w:r w:rsidRPr="009A08C8">
        <w:t>рассчитывается как соотношение стоимости накопленного износа на конец года к первоначальной стоимости машин и оборудование на конец года по промышленной деятельности.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lastRenderedPageBreak/>
        <w:t>33.</w:t>
      </w:r>
      <w:r w:rsidRPr="009A08C8">
        <w:rPr>
          <w:snapToGrid w:val="0"/>
        </w:rPr>
        <w:t xml:space="preserve"> В строке</w:t>
      </w:r>
      <w:r w:rsidRPr="009A08C8">
        <w:t xml:space="preserve"> «объем производства всего и по видам продукции» указывается полный объем произведенной предприятием продукции в году, предшествовавшем формированию паспорта в стоимостном выражении, в фактических ценах (без учета стоимости переработанного давальческого сырья). При этом включаются: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 готовая продукция, выработанная за указанный период, как из своего сырья и материалов, так и из сырья и материалов заказчика (давальческого сырья);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полуфабрикаты своей выработки, отпущенные за этот период на сторону, своему капитальному строительству и непромышленным подразделениям своей организации;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работы по изготовлению продукции (изделий) с длительным производственным циклом, производство которых в указанный период не было завершено;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работы (услуги) промышленного характера, выполненные по заказам со стороны, для своего капитального строительства и непромышленных подразделений своей организации, а также работы по модернизации и реконструкции собственного оборудования.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Данные об основных видах произведенной продукции оформляются  с использованием наименований и кодов Номенклатуры, в соответствии с указанными в ней единицами измерения.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34. Показатель «уровень загрузки мощностей» определяется как частное от деления объема производимой продукции на среднегодовую производственную мощность по выпуску данной продукции, умноженное на 100%.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35. В строке «объем реализации» указываются данные о выручке от реализации промышленной продукции, а также работ и услуг промышленного характера, соответствующие данным бухгалтерского учета.</w:t>
      </w:r>
    </w:p>
    <w:p w:rsidR="009A08C8" w:rsidRPr="009A08C8" w:rsidRDefault="009A08C8" w:rsidP="009A08C8">
      <w:pPr>
        <w:shd w:val="clear" w:color="auto" w:fill="FFFFFF"/>
        <w:spacing w:after="40" w:line="312" w:lineRule="auto"/>
        <w:ind w:firstLine="567"/>
        <w:jc w:val="both"/>
      </w:pPr>
      <w:r w:rsidRPr="009A08C8">
        <w:t>36. Себестоимость реализованной продукции отражается как сумма себестоимости реализованной промышленной продукции, учтенная на счетах учета себестоимости реализованной продукции (товаров, работ и услуг) (9100)</w:t>
      </w:r>
      <w:r w:rsidRPr="009A08C8">
        <w:rPr>
          <w:snapToGrid w:val="0"/>
          <w:color w:val="000000"/>
        </w:rPr>
        <w:t>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rPr>
          <w:noProof/>
        </w:rPr>
        <w:t>37.</w:t>
      </w:r>
      <w:bookmarkStart w:id="0" w:name="1787152"/>
      <w:r w:rsidRPr="009A08C8">
        <w:rPr>
          <w:noProof/>
        </w:rPr>
        <w:t> В строке «наличие сертификата менеджмента качества», п</w:t>
      </w:r>
      <w:proofErr w:type="spellStart"/>
      <w:r w:rsidRPr="009A08C8">
        <w:t>редприятия</w:t>
      </w:r>
      <w:proofErr w:type="spellEnd"/>
      <w:r w:rsidRPr="009A08C8">
        <w:t xml:space="preserve">, внедрившие систему менеджмента качества и прошедшие установленные процедуры в соответствии с международными и </w:t>
      </w:r>
      <w:proofErr w:type="spellStart"/>
      <w:r w:rsidRPr="009A08C8">
        <w:t>страновыми</w:t>
      </w:r>
      <w:proofErr w:type="spellEnd"/>
      <w:r w:rsidRPr="009A08C8">
        <w:t xml:space="preserve"> стандартам</w:t>
      </w:r>
      <w:bookmarkEnd w:id="0"/>
      <w:r w:rsidRPr="009A08C8">
        <w:t>и, указывают код и номер полученного сертификата.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38. В строке «объем экспорта» указываются данные о промышленной продукции, произведенной предприятием и отгруженной на экспорт в течение года, включая товары, реализованные за иностранную валюту нерезидентам, в том числе без пересечения границы Республики Узбекистан, а также услуги промышленного характера, предоставленные за иностранную валюту нерезидентам Республики Узбекистан.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39. По строке «остатки готовой продукции на конец периода» отражается стоимость промышленной продукции собственного производства, имеющейся на складах готовой продукции или других местах хранения, в фактических ценах на конец отчетного периода (без НДС и акциза).</w:t>
      </w:r>
    </w:p>
    <w:p w:rsidR="009A08C8" w:rsidRPr="009A08C8" w:rsidRDefault="009A08C8" w:rsidP="009A08C8">
      <w:pPr>
        <w:pStyle w:val="Default"/>
        <w:spacing w:after="40" w:line="312" w:lineRule="auto"/>
        <w:ind w:firstLine="567"/>
        <w:jc w:val="both"/>
        <w:rPr>
          <w:color w:val="auto"/>
          <w:sz w:val="20"/>
          <w:szCs w:val="20"/>
        </w:rPr>
      </w:pPr>
      <w:r w:rsidRPr="009A08C8">
        <w:rPr>
          <w:color w:val="auto"/>
          <w:sz w:val="20"/>
          <w:szCs w:val="20"/>
        </w:rPr>
        <w:t>40. В строке «израсходовано энергоресурсов» приводятся фактические данные об использовании предприятием за год топлива и энергии, включая расход на прои</w:t>
      </w:r>
      <w:r w:rsidRPr="009A08C8">
        <w:rPr>
          <w:color w:val="auto"/>
          <w:sz w:val="20"/>
          <w:szCs w:val="20"/>
        </w:rPr>
        <w:t>з</w:t>
      </w:r>
      <w:r w:rsidRPr="009A08C8">
        <w:rPr>
          <w:color w:val="auto"/>
          <w:sz w:val="20"/>
          <w:szCs w:val="20"/>
        </w:rPr>
        <w:t xml:space="preserve">водственно-эксплуатационные, строительные, транспортные, коммунальные, сельскохозяйственные, культурно-бытовые и прочие нужды. </w:t>
      </w:r>
    </w:p>
    <w:p w:rsidR="009A08C8" w:rsidRPr="009A08C8" w:rsidRDefault="009A08C8" w:rsidP="009A08C8">
      <w:pPr>
        <w:pStyle w:val="Default"/>
        <w:spacing w:after="40" w:line="312" w:lineRule="auto"/>
        <w:ind w:firstLine="567"/>
        <w:jc w:val="both"/>
        <w:rPr>
          <w:color w:val="auto"/>
          <w:sz w:val="20"/>
          <w:szCs w:val="20"/>
        </w:rPr>
      </w:pPr>
      <w:r w:rsidRPr="009A08C8">
        <w:rPr>
          <w:color w:val="auto"/>
          <w:sz w:val="20"/>
          <w:szCs w:val="20"/>
        </w:rPr>
        <w:t>В показатели расхода включаются также производственно-технологические потери (связанные с условиями непосредственного использования топлива в технологическом процессе или преобразования его в другие виды топлива и энергии) и оформленные соответствующ</w:t>
      </w:r>
      <w:r w:rsidRPr="009A08C8">
        <w:rPr>
          <w:color w:val="auto"/>
          <w:sz w:val="20"/>
          <w:szCs w:val="20"/>
        </w:rPr>
        <w:t>и</w:t>
      </w:r>
      <w:r w:rsidRPr="009A08C8">
        <w:rPr>
          <w:color w:val="auto"/>
          <w:sz w:val="20"/>
          <w:szCs w:val="20"/>
        </w:rPr>
        <w:t xml:space="preserve">ми актами потери и недостачи топлива у потребителей при хранении и транспортировке.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В показатели расхода не включается объем топлива или энергии, поста</w:t>
      </w:r>
      <w:r w:rsidRPr="009A08C8">
        <w:t>в</w:t>
      </w:r>
      <w:r w:rsidRPr="009A08C8">
        <w:t>ленный (проданный) другим предприятиям и населению, полученный со стороны без оформления соответствующих учетных документов, потери и недостачи топлива и энергии, предназначенные для торговли.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41. Строка «год проведения последнего </w:t>
      </w:r>
      <w:proofErr w:type="spellStart"/>
      <w:r w:rsidRPr="009A08C8">
        <w:t>энергоаудита</w:t>
      </w:r>
      <w:proofErr w:type="spellEnd"/>
      <w:r w:rsidRPr="009A08C8">
        <w:t>» оформляется предприятием в соответствии с документами, установленными Правилами проведения энергетических обследований и экспертиз потребителей топливно-энергетических ресурсов, утвержденными постановлением Кабинета Министров от 07 августа 2006 г. № 164.</w:t>
      </w:r>
    </w:p>
    <w:p w:rsidR="009A08C8" w:rsidRPr="009A08C8" w:rsidRDefault="009A08C8" w:rsidP="009A08C8">
      <w:pPr>
        <w:spacing w:after="40" w:line="312" w:lineRule="auto"/>
        <w:ind w:firstLine="567"/>
        <w:jc w:val="both"/>
        <w:rPr>
          <w:b/>
          <w:color w:val="FF0000"/>
          <w:lang w:val="uz-Cyrl-UZ"/>
        </w:rPr>
      </w:pPr>
      <w:r w:rsidRPr="009A08C8">
        <w:rPr>
          <w:lang w:val="uz-Cyrl-UZ"/>
        </w:rPr>
        <w:t xml:space="preserve">42. Строка </w:t>
      </w:r>
      <w:r w:rsidRPr="009A08C8">
        <w:rPr>
          <w:b/>
        </w:rPr>
        <w:t>«</w:t>
      </w:r>
      <w:r w:rsidRPr="009A08C8">
        <w:rPr>
          <w:b/>
          <w:lang w:val="uz-Cyrl-UZ"/>
        </w:rPr>
        <w:t>р</w:t>
      </w:r>
      <w:proofErr w:type="spellStart"/>
      <w:r w:rsidRPr="009A08C8">
        <w:rPr>
          <w:b/>
        </w:rPr>
        <w:t>ентабельность</w:t>
      </w:r>
      <w:proofErr w:type="spellEnd"/>
      <w:r w:rsidRPr="009A08C8">
        <w:rPr>
          <w:b/>
        </w:rPr>
        <w:t>»</w:t>
      </w:r>
      <w:r w:rsidRPr="009A08C8">
        <w:t xml:space="preserve"> рассчитывается на основании данных бухгалтерского учета, как </w:t>
      </w:r>
      <w:r w:rsidRPr="009A08C8">
        <w:rPr>
          <w:b/>
        </w:rPr>
        <w:t>соотношение финансового результата предприятия п</w:t>
      </w:r>
      <w:r w:rsidRPr="009A08C8">
        <w:rPr>
          <w:b/>
          <w:noProof/>
        </w:rPr>
        <w:t xml:space="preserve">рибыль (убыток) до уплаты налога на прибыль </w:t>
      </w:r>
      <w:r w:rsidRPr="009A08C8">
        <w:rPr>
          <w:b/>
        </w:rPr>
        <w:t>к себестоимости реализованной продукции (товаров, работ</w:t>
      </w:r>
      <w:r w:rsidRPr="009A08C8">
        <w:t xml:space="preserve"> </w:t>
      </w:r>
      <w:r w:rsidRPr="009A08C8">
        <w:rPr>
          <w:b/>
        </w:rPr>
        <w:t xml:space="preserve">и услуг). </w:t>
      </w:r>
    </w:p>
    <w:p w:rsidR="009A08C8" w:rsidRPr="009A08C8" w:rsidRDefault="009A08C8" w:rsidP="009A08C8">
      <w:pPr>
        <w:spacing w:before="240" w:after="240" w:line="312" w:lineRule="auto"/>
        <w:ind w:firstLine="567"/>
        <w:jc w:val="center"/>
        <w:rPr>
          <w:b/>
        </w:rPr>
      </w:pPr>
      <w:r w:rsidRPr="009A08C8">
        <w:rPr>
          <w:b/>
        </w:rPr>
        <w:lastRenderedPageBreak/>
        <w:t xml:space="preserve">4. Особенности </w:t>
      </w:r>
      <w:proofErr w:type="gramStart"/>
      <w:r w:rsidRPr="009A08C8">
        <w:rPr>
          <w:b/>
        </w:rPr>
        <w:t>оформления отдельных показателей типовой формы паспорта строительной организации</w:t>
      </w:r>
      <w:proofErr w:type="gramEnd"/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43. Предприятия, у которых осуществление строительных работ собственными силами является основным видом деятельности (преобладающим), оформляют и предоставляют типовую форму паспорта согласно приложению № 2 к</w:t>
      </w:r>
      <w:r w:rsidRPr="009A08C8">
        <w:rPr>
          <w:lang w:val="uz-Cyrl-UZ"/>
        </w:rPr>
        <w:t xml:space="preserve"> постановлению Кабинета Министров Республики Узбекистан от 26 января 2015 г. № 11</w:t>
      </w:r>
      <w:r w:rsidRPr="009A08C8">
        <w:t xml:space="preserve">.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44. В строке «наличие государственной доли»</w:t>
      </w:r>
      <w:r w:rsidRPr="009A08C8">
        <w:rPr>
          <w:noProof/>
        </w:rPr>
        <w:t xml:space="preserve"> предприятия, имеющие </w:t>
      </w:r>
      <w:r w:rsidRPr="009A08C8">
        <w:t xml:space="preserve">государственные активы (пакеты акций акционерных обществ, доли других хозяйственных обществ, принадлежащие государству) указывают их долю в % </w:t>
      </w:r>
      <w:proofErr w:type="gramStart"/>
      <w:r w:rsidRPr="009A08C8">
        <w:t>в</w:t>
      </w:r>
      <w:proofErr w:type="gramEnd"/>
      <w:r w:rsidRPr="009A08C8">
        <w:t xml:space="preserve"> уставном фонде.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45. В строке «специализация» указываются слова «строительная», «ремонтно-строительная», «монтажная», исходя из объема строительных работ, преобладающих в деятельности предприятия за три года, предшествующих оформлению паспорта. 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46. В строке «Наличие производственных баз» указываются объекты, находящиеся на балансе организации по состоянию на 31 декабря года, предшествующего оформлению (изменению) паспорта.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К производственным базам относятся: места дислокации и ремонта грузового транспорта, строительных машин и механизмов, складов для хранения строительных материалов, цехов (завода) по производству строительных материалов, лабораторий  по </w:t>
      </w:r>
      <w:proofErr w:type="gramStart"/>
      <w:r w:rsidRPr="009A08C8">
        <w:t>контролю за</w:t>
      </w:r>
      <w:proofErr w:type="gramEnd"/>
      <w:r w:rsidRPr="009A08C8">
        <w:t xml:space="preserve"> качеством выпускаемых собственными силами или приобретаемых строительных материалов.</w:t>
      </w:r>
    </w:p>
    <w:p w:rsidR="009A08C8" w:rsidRPr="009A08C8" w:rsidRDefault="009A08C8" w:rsidP="009A08C8">
      <w:pPr>
        <w:pStyle w:val="a3"/>
        <w:tabs>
          <w:tab w:val="left" w:pos="567"/>
        </w:tabs>
        <w:spacing w:after="40" w:line="312" w:lineRule="auto"/>
        <w:ind w:firstLine="567"/>
        <w:rPr>
          <w:sz w:val="20"/>
        </w:rPr>
      </w:pPr>
      <w:r w:rsidRPr="009A08C8">
        <w:rPr>
          <w:sz w:val="20"/>
        </w:rPr>
        <w:t xml:space="preserve">47. В строке «наличие машин и механизмов, включая средств малой механизации», приводятся данные по состоянию на 31 декабря года, предшествующего оформлению паспорта, о количестве числящихся на балансе предприятия транспортных (грузовых и легковых) машин, строительных машин и механизмов, средств малой механизации. </w:t>
      </w:r>
      <w:r w:rsidRPr="009A08C8">
        <w:rPr>
          <w:sz w:val="20"/>
        </w:rPr>
        <w:br/>
        <w:t xml:space="preserve">            В показатель также включаются строительные и транспортные машины, сданные в аренду или используемые в структурных подразделениях, деятельность которых относится  к другим отраслям экономики (промышленность, транспорт и др.). </w:t>
      </w:r>
      <w:proofErr w:type="gramStart"/>
      <w:r w:rsidRPr="009A08C8">
        <w:rPr>
          <w:sz w:val="20"/>
        </w:rPr>
        <w:t>Приводятся данные как об исправных, действующих машинах, так и о бездействующих (находящихся в ремонте и ожидании ремонта, резерве, находящихся в разобранном состоянии и т.п.).</w:t>
      </w:r>
      <w:proofErr w:type="gramEnd"/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 xml:space="preserve">При этом к средствам малой механизации относятся: стационарные </w:t>
      </w:r>
      <w:proofErr w:type="spellStart"/>
      <w:r w:rsidRPr="009A08C8">
        <w:t>растворонасосы</w:t>
      </w:r>
      <w:proofErr w:type="spellEnd"/>
      <w:r w:rsidRPr="009A08C8">
        <w:t>, станки для резки гранита, мрамора, стекла, паркетно-шлифовальные машинки, электрические дрели, электрические перфораторы, переносные электрические машинки для резки материалов болгарки, сварочные аппараты, пистолеты строительные и т.п.</w:t>
      </w:r>
    </w:p>
    <w:p w:rsidR="009A08C8" w:rsidRPr="009A08C8" w:rsidRDefault="009A08C8" w:rsidP="009A08C8">
      <w:pPr>
        <w:spacing w:after="40" w:line="312" w:lineRule="auto"/>
        <w:ind w:firstLine="567"/>
        <w:jc w:val="both"/>
        <w:rPr>
          <w:color w:val="FF0000"/>
        </w:rPr>
      </w:pPr>
      <w:r w:rsidRPr="009A08C8">
        <w:rPr>
          <w:rStyle w:val="textcop"/>
        </w:rPr>
        <w:t xml:space="preserve">48. Показатель </w:t>
      </w:r>
      <w:r w:rsidRPr="009A08C8">
        <w:t xml:space="preserve">«возрастной состав основных фондов: оборудование; техника, машины и механизмы» указывается по первоначальной стоимости на конец года в процентном отношении к общей стоимости машин и оборудования по строительной деятельности. 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t>Показатель «уровень износа оборудование; техника, машины и механизмы»</w:t>
      </w:r>
      <w:r w:rsidRPr="009A08C8">
        <w:rPr>
          <w:color w:val="FF0000"/>
        </w:rPr>
        <w:t xml:space="preserve"> </w:t>
      </w:r>
      <w:r w:rsidRPr="009A08C8">
        <w:t xml:space="preserve">рассчитывается как соотношение стоимости накопленного износа на конец года к первоначальной стоимости машин и оборудование на конец года по строительной деятельности. </w:t>
      </w:r>
    </w:p>
    <w:p w:rsidR="009A08C8" w:rsidRPr="009A08C8" w:rsidRDefault="009A08C8" w:rsidP="009A08C8">
      <w:pPr>
        <w:tabs>
          <w:tab w:val="left" w:pos="387"/>
        </w:tabs>
        <w:spacing w:after="40" w:line="312" w:lineRule="auto"/>
        <w:ind w:firstLine="567"/>
        <w:jc w:val="both"/>
      </w:pPr>
      <w:r w:rsidRPr="009A08C8">
        <w:t>49. </w:t>
      </w:r>
      <w:proofErr w:type="gramStart"/>
      <w:r w:rsidRPr="009A08C8">
        <w:t>В строке «Объем фактически выполненных работ за отчетный период»  отражается объем строительных работ, выполненных всеми подразделениями предприятия, собственными силами по генеральным, прямым и субподрядным договорам за счет всех источников финансирования в фактических ценах без налога на добавленную стоимость, включая строительство объектов методом «под ключ» и строительные работы за пределами Республики Узбекистан.</w:t>
      </w:r>
      <w:proofErr w:type="gramEnd"/>
    </w:p>
    <w:p w:rsidR="009A08C8" w:rsidRPr="009A08C8" w:rsidRDefault="009A08C8" w:rsidP="009A08C8">
      <w:pPr>
        <w:tabs>
          <w:tab w:val="left" w:pos="1260"/>
        </w:tabs>
        <w:spacing w:after="40" w:line="312" w:lineRule="auto"/>
        <w:ind w:firstLine="567"/>
        <w:jc w:val="both"/>
      </w:pPr>
      <w:proofErr w:type="gramStart"/>
      <w:r w:rsidRPr="009A08C8">
        <w:t xml:space="preserve">Кроме того, в данной строке отражается объем выполненных собственными силами работ по договорам (контрактам) строительного подряда (строительных  и монтажных, работ по капитальному и текущему ремонту зданий и сооружений, работ  по монтажу, пуску и наладке инженерного оборудования зданий и сооружений, реставрационно-восстановительных работ), а также стоимость работ по техническому обслуживанию оборудования, несущего функциональную нагрузку в здании и других строительных работ. </w:t>
      </w:r>
      <w:proofErr w:type="gramEnd"/>
    </w:p>
    <w:p w:rsidR="009A08C8" w:rsidRPr="009A08C8" w:rsidRDefault="009A08C8" w:rsidP="009A08C8">
      <w:pPr>
        <w:spacing w:before="240" w:after="240" w:line="312" w:lineRule="auto"/>
        <w:ind w:firstLine="567"/>
        <w:jc w:val="center"/>
        <w:rPr>
          <w:b/>
        </w:rPr>
      </w:pPr>
      <w:r w:rsidRPr="009A08C8">
        <w:rPr>
          <w:b/>
        </w:rPr>
        <w:t>5. Заключительные положения</w:t>
      </w:r>
    </w:p>
    <w:p w:rsidR="009A08C8" w:rsidRPr="009A08C8" w:rsidRDefault="009A08C8" w:rsidP="009A08C8">
      <w:pPr>
        <w:spacing w:after="40" w:line="312" w:lineRule="auto"/>
        <w:ind w:firstLine="567"/>
        <w:jc w:val="both"/>
      </w:pPr>
      <w:r w:rsidRPr="009A08C8">
        <w:lastRenderedPageBreak/>
        <w:t>50. О</w:t>
      </w:r>
      <w:r w:rsidRPr="009A08C8">
        <w:rPr>
          <w:lang w:val="uz-Cyrl-UZ"/>
        </w:rPr>
        <w:t>тветственность</w:t>
      </w:r>
      <w:r w:rsidRPr="009A08C8">
        <w:t xml:space="preserve"> за </w:t>
      </w:r>
      <w:r w:rsidRPr="009A08C8">
        <w:rPr>
          <w:lang w:val="uz-Cyrl-UZ"/>
        </w:rPr>
        <w:t>своевременное оформление, полноту и достоверность информации, содержащейся в паспортах предприятий, в</w:t>
      </w:r>
      <w:r w:rsidRPr="009A08C8">
        <w:t xml:space="preserve"> соответствии с пунктом 4 </w:t>
      </w:r>
      <w:r w:rsidRPr="009A08C8">
        <w:rPr>
          <w:lang w:val="uz-Cyrl-UZ"/>
        </w:rPr>
        <w:t xml:space="preserve">постановления Кабинета Министров Республики Узбекистан от 26 января 2015 г. № 11 </w:t>
      </w:r>
      <w:r w:rsidRPr="009A08C8">
        <w:t>«</w:t>
      </w:r>
      <w:r w:rsidRPr="009A08C8">
        <w:rPr>
          <w:lang w:val="uz-Cyrl-UZ"/>
        </w:rPr>
        <w:t xml:space="preserve">О дополнительных мерах по обеспечению устойчивой деятельности и максимальной загрузки </w:t>
      </w:r>
      <w:proofErr w:type="gramStart"/>
      <w:r w:rsidRPr="009A08C8">
        <w:rPr>
          <w:lang w:val="uz-Cyrl-UZ"/>
        </w:rPr>
        <w:t>мощностей</w:t>
      </w:r>
      <w:proofErr w:type="gramEnd"/>
      <w:r w:rsidRPr="009A08C8">
        <w:rPr>
          <w:lang w:val="uz-Cyrl-UZ"/>
        </w:rPr>
        <w:t xml:space="preserve"> промышленных и строительных организаций</w:t>
      </w:r>
      <w:r w:rsidRPr="009A08C8">
        <w:t>»</w:t>
      </w:r>
      <w:r w:rsidRPr="009A08C8">
        <w:rPr>
          <w:lang w:val="uz-Cyrl-UZ"/>
        </w:rPr>
        <w:t>, возложена на руководителей органов государственного и хозяйственного управления и предприятий.</w:t>
      </w:r>
      <w:r w:rsidRPr="009A08C8">
        <w:t xml:space="preserve"> </w:t>
      </w:r>
    </w:p>
    <w:p w:rsidR="009A08C8" w:rsidRPr="009A08C8" w:rsidRDefault="009A08C8" w:rsidP="009A08C8">
      <w:pPr>
        <w:spacing w:after="40" w:line="312" w:lineRule="auto"/>
        <w:ind w:firstLine="567"/>
        <w:jc w:val="both"/>
        <w:rPr>
          <w:lang w:val="uz-Cyrl-UZ"/>
        </w:rPr>
      </w:pPr>
      <w:r w:rsidRPr="009A08C8">
        <w:t xml:space="preserve">51. Настоящая Методология </w:t>
      </w:r>
      <w:r w:rsidRPr="009A08C8">
        <w:rPr>
          <w:lang w:val="uz-Cyrl-UZ"/>
        </w:rPr>
        <w:t xml:space="preserve">согласована с Министерством экономики, Министерством финансов и </w:t>
      </w:r>
      <w:r w:rsidRPr="009A08C8">
        <w:rPr>
          <w:noProof/>
        </w:rPr>
        <w:t>Государственным комитетом по архитектуре  и строительству Республики Узбекистан.</w:t>
      </w:r>
    </w:p>
    <w:p w:rsidR="001F3490" w:rsidRPr="009A08C8" w:rsidRDefault="001F3490">
      <w:pPr>
        <w:rPr>
          <w:lang w:val="uz-Cyrl-UZ"/>
        </w:rPr>
      </w:pPr>
    </w:p>
    <w:sectPr w:rsidR="001F3490" w:rsidRPr="009A08C8" w:rsidSect="00F90B3A">
      <w:pgSz w:w="11906" w:h="16838"/>
      <w:pgMar w:top="851" w:right="849" w:bottom="85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08C8"/>
    <w:rsid w:val="001F3490"/>
    <w:rsid w:val="009A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A08C8"/>
    <w:pPr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A08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extcop">
    <w:name w:val="textcop"/>
    <w:basedOn w:val="a0"/>
    <w:rsid w:val="009A08C8"/>
  </w:style>
  <w:style w:type="paragraph" w:customStyle="1" w:styleId="Default">
    <w:name w:val="Default"/>
    <w:rsid w:val="009A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3546</Words>
  <Characters>20218</Characters>
  <Application>Microsoft Office Word</Application>
  <DocSecurity>0</DocSecurity>
  <Lines>168</Lines>
  <Paragraphs>47</Paragraphs>
  <ScaleCrop>false</ScaleCrop>
  <Company>Grizli777</Company>
  <LinksUpToDate>false</LinksUpToDate>
  <CharactersWithSpaces>23717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8-1-7</dc:creator>
  <cp:keywords/>
  <dc:description/>
  <cp:lastModifiedBy>8-1-7</cp:lastModifiedBy>
  <cp:revision>1</cp:revision>
  <dcterms:created xsi:type="dcterms:W3CDTF">2017-03-13T06:43:00Z</dcterms:created>
  <dcterms:modified xsi:type="dcterms:W3CDTF">2017-03-13T06:45:00Z</dcterms:modified>
</cp:coreProperties>
</file>